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w:t>
      </w:r>
      <w:r>
        <w:rPr>
          <w:rFonts w:hint="eastAsia" w:cs="Times New Roman" w:asciiTheme="majorEastAsia" w:hAnsiTheme="majorEastAsia" w:eastAsiaTheme="majorEastAsia"/>
          <w:b/>
          <w:sz w:val="44"/>
          <w:szCs w:val="44"/>
          <w:lang w:eastAsia="zh-CN"/>
        </w:rPr>
        <w:t>安平镇2019</w:t>
      </w:r>
      <w:r>
        <w:rPr>
          <w:rFonts w:cs="Times New Roman" w:asciiTheme="majorEastAsia" w:hAnsiTheme="majorEastAsia" w:eastAsiaTheme="majorEastAsia"/>
          <w:b/>
          <w:sz w:val="44"/>
          <w:szCs w:val="44"/>
        </w:rPr>
        <w:t>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安平镇2019</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643" w:firstLineChars="200"/>
        <w:rPr>
          <w:rFonts w:hint="eastAsia" w:ascii="PingFang SC" w:hAnsi="PingFang SC" w:eastAsia="PingFang SC" w:cs="PingFang SC"/>
          <w:b w:val="0"/>
          <w:i w:val="0"/>
          <w:caps w:val="0"/>
          <w:color w:val="000000" w:themeColor="text1"/>
          <w:spacing w:val="0"/>
          <w:sz w:val="32"/>
          <w:szCs w:val="32"/>
          <w14:textFill>
            <w14:solidFill>
              <w14:schemeClr w14:val="tx1"/>
            </w14:solidFill>
          </w14:textFill>
        </w:rPr>
      </w:pPr>
      <w:r>
        <w:rPr>
          <w:rFonts w:hint="eastAsia" w:ascii="仿宋" w:hAnsi="仿宋" w:eastAsia="仿宋" w:cs="Times New Roman"/>
          <w:b/>
          <w:sz w:val="32"/>
          <w:szCs w:val="32"/>
        </w:rPr>
        <w:t>部门</w:t>
      </w:r>
      <w:r>
        <w:rPr>
          <w:rFonts w:ascii="仿宋" w:hAnsi="仿宋" w:eastAsia="仿宋" w:cs="Times New Roman"/>
          <w:b/>
          <w:sz w:val="32"/>
          <w:szCs w:val="32"/>
        </w:rPr>
        <w:t>职责：</w:t>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保证党的路线、方针、政策的坚决贯彻执行</w:t>
      </w:r>
      <w:r>
        <w:rPr>
          <w:rFonts w:hint="eastAsia" w:ascii="PingFang SC" w:hAnsi="PingFang SC" w:cs="PingFang SC"/>
          <w:b w:val="0"/>
          <w:i w:val="0"/>
          <w:caps w:val="0"/>
          <w:color w:val="000000" w:themeColor="text1"/>
          <w:spacing w:val="0"/>
          <w:sz w:val="32"/>
          <w:szCs w:val="32"/>
          <w:shd w:val="clear" w:fill="FFFFFF"/>
          <w:lang w:eastAsia="zh-CN"/>
          <w14:textFill>
            <w14:solidFill>
              <w14:schemeClr w14:val="tx1"/>
            </w14:solidFill>
          </w14:textFill>
        </w:rPr>
        <w:t>，</w:t>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负责抓好本</w:t>
      </w:r>
      <w:r>
        <w:rPr>
          <w:rFonts w:hint="eastAsia" w:ascii="PingFang SC" w:hAnsi="PingFang SC" w:cs="PingFang SC"/>
          <w:b w:val="0"/>
          <w:i w:val="0"/>
          <w:caps w:val="0"/>
          <w:color w:val="000000" w:themeColor="text1"/>
          <w:spacing w:val="0"/>
          <w:sz w:val="32"/>
          <w:szCs w:val="32"/>
          <w:shd w:val="clear" w:fill="FFFFFF"/>
          <w:lang w:eastAsia="zh-CN"/>
          <w14:textFill>
            <w14:solidFill>
              <w14:schemeClr w14:val="tx1"/>
            </w14:solidFill>
          </w14:textFill>
        </w:rPr>
        <w:t>镇</w:t>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党建工作、群团工作、精神文明建设工作、新闻宣传工作。制定并组织实施村镇建设规划，部署重点工程建设，地方道路建设及公共设施，水利设施的管理，负责土地、林木、水等自然资源和生态环境的保护，做好护林防火工作。负责本行政区域内的民政、计划生育、</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begin"/>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instrText xml:space="preserve"> HYPERLINK "https://www.baidu.com/s?wd=%E6%96%87%E5%8C%96%E6%95%99%E8%82%B2&amp;tn=44039180_cpr&amp;fenlei=mv6quAkxTZn0IZRqIHckPjm4nH00T1YLuhnvrymvuWm1PW64P16L0ZwV5Hcvrjm3rH6sPfKWUMw85HfYnjn4nH6sgvPsT6KdThsqpZwYTjCEQLGCpyw9Uz4Bmy-bIi4WUvYETgN-TLwGUv3EPjDYnH0dPjcv" \t "https://zhidao.baidu.com/question/_blank" </w:instrTex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separate"/>
      </w:r>
      <w:r>
        <w:rPr>
          <w:rStyle w:val="10"/>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t>文化教育</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end"/>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、卫生、体育等社会公益事业的综合性工作，维护一切经济单位和个人的正当经济权益，取缔非法经济活动，调解和处理</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begin"/>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instrText xml:space="preserve"> HYPERLINK "https://www.baidu.com/s?wd=%E6%B0%91%E4%BA%8B%E7%BA%A0%E7%BA%B7&amp;tn=44039180_cpr&amp;fenlei=mv6quAkxTZn0IZRqIHckPjm4nH00T1YLuhnvrymvuWm1PW64P16L0ZwV5Hcvrjm3rH6sPfKWUMw85HfYnjn4nH6sgvPsT6KdThsqpZwYTjCEQLGCpyw9Uz4Bmy-bIi4WUvYETgN-TLwGUv3EPjDYnH0dPjcv" \t "https://zhidao.baidu.com/question/_blank" </w:instrTex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separate"/>
      </w:r>
      <w:r>
        <w:rPr>
          <w:rStyle w:val="10"/>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t>民事纠纷</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end"/>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，打击刑事犯罪维护社会稳定。按计划组织本级财政收入和地方税的征收，完成国家财政计划，不断培植税源，管好财政资金，增强财政实力。抓好精神文明建设，丰富</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begin"/>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instrText xml:space="preserve"> HYPERLINK "https://www.baidu.com/s?wd=%E7%BE%A4%E4%BC%97%E6%96%87%E5%8C%96&amp;tn=44039180_cpr&amp;fenlei=mv6quAkxTZn0IZRqIHckPjm4nH00T1YLuhnvrymvuWm1PW64P16L0ZwV5Hcvrjm3rH6sPfKWUMw85HfYnjn4nH6sgvPsT6KdThsqpZwYTjCEQLGCpyw9Uz4Bmy-bIi4WUvYETgN-TLwGUv3EPjDYnH0dPjcv" \t "https://zhidao.baidu.com/question/_blank" </w:instrTex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separate"/>
      </w:r>
      <w:r>
        <w:rPr>
          <w:rStyle w:val="10"/>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t>群众文化</w:t>
      </w:r>
      <w:r>
        <w:rPr>
          <w:rFonts w:hint="default" w:ascii="PingFang SC" w:hAnsi="PingFang SC" w:eastAsia="PingFang SC" w:cs="PingFang SC"/>
          <w:b w:val="0"/>
          <w:i w:val="0"/>
          <w:caps w:val="0"/>
          <w:color w:val="000000" w:themeColor="text1"/>
          <w:spacing w:val="0"/>
          <w:sz w:val="32"/>
          <w:szCs w:val="32"/>
          <w:u w:val="none"/>
          <w:shd w:val="clear" w:fill="FFFFFF"/>
          <w14:textFill>
            <w14:solidFill>
              <w14:schemeClr w14:val="tx1"/>
            </w14:solidFill>
          </w14:textFill>
        </w:rPr>
        <w:fldChar w:fldCharType="end"/>
      </w:r>
      <w:r>
        <w:rPr>
          <w:rFonts w:hint="default" w:ascii="PingFang SC" w:hAnsi="PingFang SC" w:eastAsia="PingFang SC" w:cs="PingFang SC"/>
          <w:b w:val="0"/>
          <w:i w:val="0"/>
          <w:caps w:val="0"/>
          <w:color w:val="000000" w:themeColor="text1"/>
          <w:spacing w:val="0"/>
          <w:sz w:val="32"/>
          <w:szCs w:val="32"/>
          <w:shd w:val="clear" w:fill="FFFFFF"/>
          <w14:textFill>
            <w14:solidFill>
              <w14:schemeClr w14:val="tx1"/>
            </w14:solidFill>
          </w14:textFill>
        </w:rPr>
        <w:t>生活，提倡移风易俗，反对封建迷信，破除陈规陋习，树立社会主义新风尚。完成上级政府交办的其它事项。</w:t>
      </w:r>
    </w:p>
    <w:p>
      <w:pPr>
        <w:ind w:firstLine="643" w:firstLineChars="200"/>
        <w:rPr>
          <w:rFonts w:hint="eastAsia" w:ascii="仿宋" w:hAnsi="仿宋" w:eastAsia="仿宋" w:cs="Times New Roman"/>
          <w:sz w:val="32"/>
          <w:szCs w:val="24"/>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香河县安平镇人民政府</w:t>
            </w:r>
          </w:p>
        </w:tc>
        <w:tc>
          <w:tcPr>
            <w:tcW w:w="1134"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仿宋" w:hAnsi="仿宋" w:eastAsia="仿宋"/>
                <w:szCs w:val="24"/>
              </w:rPr>
              <w:t>行政</w:t>
            </w:r>
          </w:p>
        </w:tc>
        <w:tc>
          <w:tcPr>
            <w:tcW w:w="1276"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仿宋" w:hAnsi="仿宋" w:eastAsia="仿宋"/>
                <w:szCs w:val="24"/>
              </w:rPr>
              <w:t>正科级</w:t>
            </w:r>
          </w:p>
        </w:tc>
        <w:tc>
          <w:tcPr>
            <w:tcW w:w="2902" w:type="dxa"/>
            <w:shd w:val="clear" w:color="auto" w:fill="auto"/>
            <w:vAlign w:val="center"/>
          </w:tcPr>
          <w:p>
            <w:pPr>
              <w:spacing w:line="300" w:lineRule="exact"/>
              <w:jc w:val="left"/>
              <w:rPr>
                <w:rFonts w:hint="eastAsia" w:ascii="Times New Roman" w:hAnsi="Times New Roman" w:eastAsia="方正书宋_GBK" w:cs="Times New Roman"/>
                <w:szCs w:val="24"/>
                <w:lang w:eastAsia="zh-CN"/>
              </w:rPr>
            </w:pPr>
            <w:r>
              <w:rPr>
                <w:rFonts w:hint="eastAsia" w:ascii="仿宋" w:hAnsi="仿宋" w:eastAsia="仿宋"/>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hint="eastAsia" w:ascii="黑体" w:hAnsi="黑体" w:eastAsia="黑体" w:cs="Times New Roman"/>
          <w:sz w:val="32"/>
          <w:szCs w:val="32"/>
        </w:rPr>
      </w:pPr>
    </w:p>
    <w:p>
      <w:pPr>
        <w:numPr>
          <w:ilvl w:val="0"/>
          <w:numId w:val="1"/>
        </w:numPr>
        <w:ind w:firstLine="640"/>
        <w:rPr>
          <w:rFonts w:hint="eastAsia" w:ascii="黑体" w:hAnsi="黑体" w:eastAsia="黑体" w:cs="Times New Roman"/>
          <w:sz w:val="32"/>
          <w:szCs w:val="32"/>
        </w:rPr>
      </w:pPr>
      <w:r>
        <w:rPr>
          <w:rFonts w:hint="eastAsia" w:ascii="黑体" w:hAnsi="黑体" w:eastAsia="黑体" w:cs="Times New Roman"/>
          <w:sz w:val="32"/>
          <w:szCs w:val="32"/>
        </w:rPr>
        <w:t>部门预算安排的总体情况</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按照预算管理有关规定，目前我</w:t>
      </w:r>
      <w:r>
        <w:rPr>
          <w:rFonts w:hint="eastAsia" w:ascii="Times New Roman" w:hAnsi="Times New Roman" w:eastAsia="仿宋" w:cs="Times New Roman"/>
          <w:sz w:val="32"/>
          <w:szCs w:val="32"/>
          <w:lang w:eastAsia="zh-CN"/>
        </w:rPr>
        <w:t>镇</w:t>
      </w:r>
      <w:r>
        <w:rPr>
          <w:rFonts w:ascii="Times New Roman" w:hAnsi="Times New Roman" w:eastAsia="仿宋" w:cs="Times New Roman"/>
          <w:sz w:val="32"/>
          <w:szCs w:val="32"/>
        </w:rPr>
        <w:t>部门预算的编制</w:t>
      </w:r>
      <w:r>
        <w:rPr>
          <w:rFonts w:hint="eastAsia" w:ascii="Times New Roman" w:hAnsi="Times New Roman" w:eastAsia="仿宋" w:cs="Times New Roman"/>
          <w:sz w:val="32"/>
          <w:szCs w:val="32"/>
          <w:lang w:eastAsia="zh-CN"/>
        </w:rPr>
        <w:t>实行统收统支</w:t>
      </w:r>
      <w:r>
        <w:rPr>
          <w:rFonts w:ascii="Times New Roman" w:hAnsi="Times New Roman" w:eastAsia="仿宋" w:cs="Times New Roman"/>
          <w:sz w:val="32"/>
          <w:szCs w:val="32"/>
        </w:rPr>
        <w:t>预算制度，即全部收入和支出都反映在预算中。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Times New Roman" w:hAnsi="Times New Roman" w:eastAsia="仿宋" w:cs="Times New Roman"/>
          <w:sz w:val="32"/>
          <w:szCs w:val="32"/>
        </w:rPr>
      </w:pPr>
      <w:r>
        <w:rPr>
          <w:rFonts w:ascii="仿宋" w:hAnsi="仿宋" w:eastAsia="仿宋" w:cs="Times New Roman"/>
          <w:sz w:val="32"/>
          <w:szCs w:val="32"/>
        </w:rPr>
        <w:t>反映本部门当年全部收入。</w:t>
      </w:r>
      <w:r>
        <w:rPr>
          <w:rFonts w:hint="eastAsia" w:ascii="仿宋" w:hAnsi="仿宋" w:eastAsia="仿宋" w:cs="Times New Roman"/>
          <w:sz w:val="32"/>
          <w:szCs w:val="32"/>
          <w:lang w:eastAsia="zh-CN"/>
        </w:rPr>
        <w:t>2019</w:t>
      </w:r>
      <w:r>
        <w:rPr>
          <w:rFonts w:ascii="仿宋" w:hAnsi="仿宋" w:eastAsia="仿宋" w:cs="Times New Roman"/>
          <w:sz w:val="32"/>
          <w:szCs w:val="32"/>
        </w:rPr>
        <w:t>年预算收入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40852.46</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40852.46</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9408</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31444.46</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）、上级补助收入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、事业收入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、经营收入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、附属单位上缴收入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、其他收入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安平镇</w:t>
      </w:r>
      <w:r>
        <w:rPr>
          <w:rFonts w:ascii="仿宋" w:hAnsi="仿宋" w:eastAsia="仿宋" w:cs="Times New Roman"/>
          <w:sz w:val="32"/>
          <w:szCs w:val="32"/>
        </w:rPr>
        <w:t>年度部门预算中支出预算的总体情况。</w:t>
      </w:r>
      <w:r>
        <w:rPr>
          <w:rFonts w:hint="eastAsia" w:ascii="仿宋" w:hAnsi="仿宋" w:eastAsia="仿宋" w:cs="Times New Roman"/>
          <w:sz w:val="32"/>
          <w:szCs w:val="32"/>
          <w:lang w:eastAsia="zh-CN"/>
        </w:rPr>
        <w:t>2019</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40852.46</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2758.43</w:t>
      </w:r>
      <w:r>
        <w:rPr>
          <w:rFonts w:ascii="仿宋" w:hAnsi="仿宋" w:eastAsia="仿宋" w:cs="Times New Roman"/>
          <w:sz w:val="32"/>
          <w:szCs w:val="32"/>
        </w:rPr>
        <w:t>万元，包括人员经费</w:t>
      </w:r>
      <w:r>
        <w:rPr>
          <w:rFonts w:hint="eastAsia" w:ascii="仿宋" w:hAnsi="仿宋" w:eastAsia="仿宋" w:cs="Times New Roman"/>
          <w:sz w:val="32"/>
          <w:szCs w:val="32"/>
          <w:lang w:val="en-US" w:eastAsia="zh-CN"/>
        </w:rPr>
        <w:t>2036.12万元</w:t>
      </w:r>
      <w:r>
        <w:rPr>
          <w:rFonts w:ascii="仿宋" w:hAnsi="仿宋" w:eastAsia="仿宋" w:cs="Times New Roman"/>
          <w:sz w:val="32"/>
          <w:szCs w:val="32"/>
        </w:rPr>
        <w:t>和日常公用经费</w:t>
      </w:r>
      <w:r>
        <w:rPr>
          <w:rFonts w:hint="eastAsia" w:ascii="仿宋" w:hAnsi="仿宋" w:eastAsia="仿宋" w:cs="Times New Roman"/>
          <w:sz w:val="32"/>
          <w:szCs w:val="32"/>
          <w:lang w:val="en-US" w:eastAsia="zh-CN"/>
        </w:rPr>
        <w:t>722.31</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38094.03</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ascii="仿宋" w:hAnsi="仿宋" w:eastAsia="仿宋" w:cs="Times New Roman"/>
          <w:sz w:val="32"/>
          <w:szCs w:val="32"/>
        </w:rPr>
        <w:t>包括本级支出</w:t>
      </w:r>
      <w:r>
        <w:rPr>
          <w:rFonts w:hint="eastAsia" w:ascii="仿宋" w:hAnsi="仿宋" w:eastAsia="仿宋" w:cs="Times New Roman"/>
          <w:sz w:val="32"/>
          <w:szCs w:val="32"/>
          <w:lang w:val="en-US" w:eastAsia="zh-CN"/>
        </w:rPr>
        <w:t>38094.03</w:t>
      </w:r>
      <w:r>
        <w:rPr>
          <w:rFonts w:ascii="仿宋" w:hAnsi="仿宋" w:eastAsia="仿宋" w:cs="Times New Roman"/>
          <w:sz w:val="32"/>
          <w:szCs w:val="32"/>
        </w:rPr>
        <w:t>万元和对下补助支出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万元，主要</w:t>
      </w:r>
      <w:r>
        <w:rPr>
          <w:rFonts w:hint="eastAsia" w:ascii="仿宋" w:hAnsi="仿宋" w:eastAsia="仿宋" w:cs="Times New Roman"/>
          <w:sz w:val="32"/>
          <w:szCs w:val="32"/>
          <w:lang w:eastAsia="zh-CN"/>
        </w:rPr>
        <w:t>为农村公益事业，大气污染治理</w:t>
      </w:r>
      <w:r>
        <w:rPr>
          <w:rFonts w:ascii="仿宋" w:hAnsi="仿宋" w:eastAsia="仿宋" w:cs="Times New Roman"/>
          <w:sz w:val="32"/>
          <w:szCs w:val="32"/>
        </w:rPr>
        <w:t>等；上缴上级支出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numPr>
          <w:ilvl w:val="0"/>
          <w:numId w:val="2"/>
        </w:numPr>
        <w:ind w:firstLine="640"/>
        <w:rPr>
          <w:rFonts w:ascii="楷体" w:hAnsi="楷体" w:eastAsia="楷体" w:cs="Times New Roman"/>
          <w:b/>
          <w:sz w:val="32"/>
          <w:szCs w:val="32"/>
        </w:rPr>
      </w:pPr>
      <w:r>
        <w:rPr>
          <w:rFonts w:ascii="楷体" w:hAnsi="楷体" w:eastAsia="楷体" w:cs="Times New Roman"/>
          <w:b/>
          <w:sz w:val="32"/>
          <w:szCs w:val="32"/>
        </w:rPr>
        <w:t>比上年增减情况</w:t>
      </w:r>
    </w:p>
    <w:p>
      <w:pPr>
        <w:numPr>
          <w:ilvl w:val="0"/>
          <w:numId w:val="0"/>
        </w:numPr>
        <w:ind w:firstLine="640" w:firstLineChars="200"/>
        <w:rPr>
          <w:rFonts w:ascii="楷体" w:hAnsi="楷体" w:eastAsia="楷体" w:cs="Times New Roman"/>
          <w:b/>
          <w:sz w:val="32"/>
          <w:szCs w:val="32"/>
        </w:rPr>
      </w:pPr>
      <w:r>
        <w:rPr>
          <w:rFonts w:hint="eastAsia" w:ascii="Times New Roman" w:hAnsi="Times New Roman" w:eastAsia="仿宋" w:cs="Times New Roman"/>
          <w:sz w:val="32"/>
          <w:szCs w:val="32"/>
          <w:lang w:eastAsia="zh-CN"/>
        </w:rPr>
        <w:t>2019</w:t>
      </w:r>
      <w:r>
        <w:rPr>
          <w:rFonts w:ascii="Times New Roman" w:hAnsi="Times New Roman" w:eastAsia="仿宋" w:cs="Times New Roman"/>
          <w:sz w:val="32"/>
          <w:szCs w:val="32"/>
        </w:rPr>
        <w:t>年预算收支安排</w:t>
      </w:r>
      <w:r>
        <w:rPr>
          <w:rFonts w:hint="eastAsia" w:ascii="Times New Roman" w:hAnsi="Times New Roman" w:eastAsia="仿宋" w:cs="Times New Roman"/>
          <w:sz w:val="32"/>
          <w:szCs w:val="32"/>
          <w:lang w:val="en-US" w:eastAsia="zh-CN"/>
        </w:rPr>
        <w:t>40852.46</w:t>
      </w:r>
      <w:r>
        <w:rPr>
          <w:rFonts w:ascii="Times New Roman" w:hAnsi="Times New Roman" w:eastAsia="仿宋" w:cs="Times New Roman"/>
          <w:sz w:val="32"/>
          <w:szCs w:val="32"/>
        </w:rPr>
        <w:t>万元，较</w:t>
      </w:r>
      <w:r>
        <w:rPr>
          <w:rFonts w:hint="eastAsia" w:ascii="Times New Roman" w:hAnsi="Times New Roman" w:eastAsia="仿宋" w:cs="Times New Roman"/>
          <w:sz w:val="32"/>
          <w:szCs w:val="32"/>
          <w:lang w:eastAsia="zh-CN"/>
        </w:rPr>
        <w:t>2018</w:t>
      </w:r>
      <w:r>
        <w:rPr>
          <w:rFonts w:ascii="Times New Roman" w:hAnsi="Times New Roman" w:eastAsia="仿宋" w:cs="Times New Roman"/>
          <w:sz w:val="32"/>
          <w:szCs w:val="32"/>
        </w:rPr>
        <w:t>年预算</w:t>
      </w:r>
      <w:r>
        <w:rPr>
          <w:rFonts w:hint="eastAsia" w:ascii="Times New Roman" w:hAnsi="Times New Roman" w:eastAsia="仿宋" w:cs="Times New Roman"/>
          <w:sz w:val="32"/>
          <w:szCs w:val="32"/>
          <w:lang w:eastAsia="zh-CN"/>
        </w:rPr>
        <w:t>增加</w:t>
      </w:r>
      <w:r>
        <w:rPr>
          <w:rFonts w:hint="eastAsia" w:ascii="Times New Roman" w:hAnsi="Times New Roman" w:eastAsia="仿宋" w:cs="Times New Roman"/>
          <w:sz w:val="32"/>
          <w:szCs w:val="32"/>
          <w:lang w:val="en-US" w:eastAsia="zh-CN"/>
        </w:rPr>
        <w:t>36623.46</w:t>
      </w:r>
      <w:r>
        <w:rPr>
          <w:rFonts w:ascii="Times New Roman" w:hAnsi="Times New Roman" w:eastAsia="仿宋" w:cs="Times New Roman"/>
          <w:sz w:val="32"/>
          <w:szCs w:val="32"/>
        </w:rPr>
        <w:t>万元，其中：基本支出增加</w:t>
      </w:r>
      <w:r>
        <w:rPr>
          <w:rFonts w:hint="eastAsia" w:ascii="Times New Roman" w:hAnsi="Times New Roman" w:eastAsia="仿宋" w:cs="Times New Roman"/>
          <w:sz w:val="32"/>
          <w:szCs w:val="32"/>
          <w:lang w:val="en-US" w:eastAsia="zh-CN"/>
        </w:rPr>
        <w:t>465.36</w:t>
      </w:r>
      <w:r>
        <w:rPr>
          <w:rFonts w:ascii="Times New Roman" w:hAnsi="Times New Roman" w:eastAsia="仿宋" w:cs="Times New Roman"/>
          <w:sz w:val="32"/>
          <w:szCs w:val="32"/>
        </w:rPr>
        <w:t>万元，主要为增加人员经费支出；项目支出</w:t>
      </w:r>
      <w:r>
        <w:rPr>
          <w:rFonts w:hint="eastAsia" w:ascii="Times New Roman" w:hAnsi="Times New Roman" w:eastAsia="仿宋" w:cs="Times New Roman"/>
          <w:sz w:val="32"/>
          <w:szCs w:val="32"/>
          <w:lang w:eastAsia="zh-CN"/>
        </w:rPr>
        <w:t>增加</w:t>
      </w:r>
      <w:r>
        <w:rPr>
          <w:rFonts w:hint="eastAsia" w:ascii="Times New Roman" w:hAnsi="Times New Roman" w:eastAsia="仿宋" w:cs="Times New Roman"/>
          <w:sz w:val="32"/>
          <w:szCs w:val="32"/>
          <w:lang w:val="en-US" w:eastAsia="zh-CN"/>
        </w:rPr>
        <w:t>36158.1</w:t>
      </w:r>
      <w:r>
        <w:rPr>
          <w:rFonts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主要增加美丽乡村建设和大气污染防治工作</w:t>
      </w:r>
      <w:r>
        <w:rPr>
          <w:rFonts w:ascii="Times New Roman" w:hAnsi="Times New Roman"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722.31</w:t>
      </w:r>
      <w:r>
        <w:rPr>
          <w:rFonts w:hint="eastAsia" w:ascii="仿宋" w:hAnsi="仿宋" w:eastAsia="仿宋" w:cs="Times New Roman"/>
          <w:sz w:val="32"/>
          <w:szCs w:val="32"/>
        </w:rPr>
        <w:t>万元</w:t>
      </w:r>
      <w:r>
        <w:rPr>
          <w:rFonts w:ascii="仿宋" w:hAnsi="仿宋" w:eastAsia="仿宋" w:cs="Times New Roman"/>
          <w:sz w:val="32"/>
          <w:szCs w:val="32"/>
        </w:rPr>
        <w:t>，主要用于</w:t>
      </w:r>
      <w:r>
        <w:rPr>
          <w:rFonts w:hint="eastAsia" w:ascii="仿宋" w:hAnsi="仿宋" w:eastAsia="仿宋" w:cs="Times New Roman"/>
          <w:sz w:val="32"/>
          <w:szCs w:val="32"/>
          <w:lang w:eastAsia="zh-CN"/>
        </w:rPr>
        <w:t>安平镇</w:t>
      </w:r>
      <w:r>
        <w:rPr>
          <w:rFonts w:ascii="仿宋" w:hAnsi="仿宋" w:eastAsia="仿宋" w:cs="Times New Roman"/>
          <w:sz w:val="32"/>
          <w:szCs w:val="32"/>
        </w:rPr>
        <w:t>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numPr>
          <w:ilvl w:val="0"/>
          <w:numId w:val="0"/>
        </w:numPr>
        <w:ind w:left="640" w:leftChars="0"/>
        <w:rPr>
          <w:rFonts w:hint="eastAsia" w:ascii="黑体" w:hAnsi="黑体" w:eastAsia="黑体" w:cs="Times New Roman"/>
          <w:sz w:val="32"/>
          <w:szCs w:val="32"/>
        </w:rPr>
      </w:pPr>
      <w:r>
        <w:rPr>
          <w:rFonts w:hint="eastAsia" w:ascii="黑体" w:hAnsi="黑体" w:eastAsia="黑体" w:cs="Times New Roman"/>
          <w:sz w:val="32"/>
          <w:szCs w:val="32"/>
          <w:lang w:eastAsia="zh-CN"/>
        </w:rPr>
        <w:t>四、</w:t>
      </w:r>
      <w:r>
        <w:rPr>
          <w:rFonts w:hint="eastAsia" w:ascii="黑体" w:hAnsi="黑体" w:eastAsia="黑体" w:cs="Times New Roman"/>
          <w:sz w:val="32"/>
          <w:szCs w:val="32"/>
        </w:rPr>
        <w:t>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rPr>
          <w:rFonts w:ascii="Times New Roman" w:hAnsi="Times New Roman" w:eastAsia="仿宋" w:cs="Times New Roman"/>
          <w:sz w:val="32"/>
          <w:szCs w:val="32"/>
          <w:lang w:val="en-US"/>
        </w:rPr>
      </w:pPr>
      <w:r>
        <w:rPr>
          <w:rFonts w:hint="eastAsia" w:ascii="仿宋" w:hAnsi="仿宋" w:eastAsia="仿宋" w:cs="Times New Roman"/>
          <w:sz w:val="32"/>
          <w:szCs w:val="32"/>
          <w:lang w:eastAsia="zh-CN"/>
        </w:rPr>
        <w:t>2019</w:t>
      </w:r>
      <w:r>
        <w:rPr>
          <w:rFonts w:ascii="仿宋" w:hAnsi="仿宋" w:eastAsia="仿宋" w:cs="Times New Roman"/>
          <w:sz w:val="32"/>
          <w:szCs w:val="32"/>
        </w:rPr>
        <w:t>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lang w:val="en-US" w:eastAsia="zh-CN"/>
        </w:rPr>
        <w:t>7.3</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7.3</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w:t>
      </w:r>
      <w:r>
        <w:rPr>
          <w:rFonts w:hint="eastAsia" w:ascii="仿宋" w:hAnsi="仿宋" w:eastAsia="仿宋" w:cs="Times New Roman"/>
          <w:sz w:val="32"/>
          <w:szCs w:val="32"/>
          <w:lang w:val="en-US" w:eastAsia="zh-CN"/>
        </w:rPr>
        <w:t>本经</w:t>
      </w:r>
      <w:r>
        <w:rPr>
          <w:rFonts w:hint="eastAsia" w:ascii="仿宋" w:hAnsi="仿宋" w:eastAsia="仿宋" w:cs="Times New Roman"/>
          <w:sz w:val="32"/>
          <w:szCs w:val="32"/>
        </w:rPr>
        <w:t>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和财政专户核拨资金</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w:t>
      </w:r>
      <w:r>
        <w:rPr>
          <w:rFonts w:hint="eastAsia" w:ascii="仿宋" w:hAnsi="仿宋" w:eastAsia="仿宋" w:cs="Times New Roman"/>
          <w:sz w:val="32"/>
          <w:szCs w:val="32"/>
          <w:lang w:eastAsia="zh-CN"/>
        </w:rPr>
        <w:t>2018</w:t>
      </w:r>
      <w:r>
        <w:rPr>
          <w:rFonts w:ascii="仿宋" w:hAnsi="仿宋" w:eastAsia="仿宋" w:cs="Times New Roman"/>
          <w:sz w:val="32"/>
          <w:szCs w:val="32"/>
        </w:rPr>
        <w:t>年</w:t>
      </w:r>
      <w:r>
        <w:rPr>
          <w:rFonts w:ascii="Times New Roman" w:hAnsi="Times New Roman" w:eastAsia="仿宋" w:cs="Times New Roman"/>
          <w:sz w:val="32"/>
          <w:szCs w:val="32"/>
        </w:rPr>
        <w:t>持平</w:t>
      </w:r>
      <w:r>
        <w:rPr>
          <w:rFonts w:hint="eastAsia" w:ascii="Times New Roman" w:hAnsi="Times New Roman" w:eastAsia="仿宋" w:cs="Times New Roman"/>
          <w:sz w:val="32"/>
          <w:szCs w:val="32"/>
          <w:lang w:eastAsia="zh-CN"/>
        </w:rPr>
        <w:t>，无增减变动；</w:t>
      </w:r>
      <w:r>
        <w:rPr>
          <w:rFonts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7.3</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万元，公务用车运行费</w:t>
      </w:r>
      <w:r>
        <w:rPr>
          <w:rFonts w:hint="eastAsia" w:ascii="仿宋" w:hAnsi="仿宋" w:eastAsia="仿宋" w:cs="Times New Roman"/>
          <w:sz w:val="32"/>
          <w:szCs w:val="32"/>
          <w:lang w:val="en-US" w:eastAsia="zh-CN"/>
        </w:rPr>
        <w:t>7.3</w:t>
      </w:r>
      <w:r>
        <w:rPr>
          <w:rFonts w:ascii="仿宋" w:hAnsi="仿宋" w:eastAsia="仿宋" w:cs="Times New Roman"/>
          <w:sz w:val="32"/>
          <w:szCs w:val="32"/>
        </w:rPr>
        <w:t>万元)</w:t>
      </w:r>
      <w:r>
        <w:rPr>
          <w:rFonts w:hint="eastAsia" w:ascii="仿宋" w:hAnsi="仿宋" w:eastAsia="仿宋" w:cs="Times New Roman"/>
          <w:sz w:val="32"/>
          <w:szCs w:val="32"/>
        </w:rPr>
        <w:t>，</w:t>
      </w:r>
      <w:r>
        <w:rPr>
          <w:rFonts w:hint="eastAsia" w:ascii="仿宋" w:hAnsi="仿宋" w:eastAsia="仿宋" w:cs="Times New Roman"/>
          <w:sz w:val="32"/>
          <w:szCs w:val="32"/>
          <w:lang w:eastAsia="zh-CN"/>
        </w:rPr>
        <w:t>与2018</w:t>
      </w:r>
      <w:r>
        <w:rPr>
          <w:rFonts w:hint="eastAsia" w:ascii="Times New Roman" w:hAnsi="Times New Roman" w:eastAsia="仿宋" w:cs="Times New Roman"/>
          <w:sz w:val="32"/>
          <w:szCs w:val="32"/>
          <w:lang w:eastAsia="zh-CN"/>
        </w:rPr>
        <w:t>减少</w:t>
      </w:r>
      <w:r>
        <w:rPr>
          <w:rFonts w:hint="eastAsia" w:ascii="Times New Roman" w:hAnsi="Times New Roman" w:eastAsia="仿宋" w:cs="Times New Roman"/>
          <w:sz w:val="32"/>
          <w:szCs w:val="32"/>
          <w:lang w:val="en-US" w:eastAsia="zh-CN"/>
        </w:rPr>
        <w:t>2.7万元，主原因是2018年旧车报废，新购一辆车，维修费减少</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w:t>
      </w:r>
      <w:r>
        <w:rPr>
          <w:rFonts w:hint="eastAsia" w:ascii="仿宋" w:hAnsi="仿宋" w:eastAsia="仿宋" w:cs="Times New Roman"/>
          <w:sz w:val="32"/>
          <w:szCs w:val="32"/>
          <w:lang w:eastAsia="zh-CN"/>
        </w:rPr>
        <w:t>2018</w:t>
      </w:r>
      <w:r>
        <w:rPr>
          <w:rFonts w:ascii="仿宋" w:hAnsi="仿宋" w:eastAsia="仿宋" w:cs="Times New Roman"/>
          <w:sz w:val="32"/>
          <w:szCs w:val="32"/>
        </w:rPr>
        <w:t>年</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1万元</w:t>
      </w:r>
      <w:r>
        <w:rPr>
          <w:rFonts w:hint="eastAsia" w:ascii="Times New Roman" w:hAnsi="Times New Roman" w:eastAsia="仿宋" w:cs="Times New Roman"/>
          <w:sz w:val="32"/>
          <w:szCs w:val="32"/>
          <w:lang w:eastAsia="zh-CN"/>
        </w:rPr>
        <w:t>，主要原因是根据上级精神减少招待费。</w:t>
      </w:r>
    </w:p>
    <w:p>
      <w:pPr>
        <w:numPr>
          <w:ilvl w:val="0"/>
          <w:numId w:val="0"/>
        </w:numPr>
        <w:ind w:left="640" w:leftChars="0"/>
        <w:rPr>
          <w:rFonts w:hint="eastAsia" w:ascii="黑体" w:hAnsi="黑体" w:eastAsia="黑体" w:cs="Times New Roman"/>
          <w:sz w:val="32"/>
          <w:szCs w:val="32"/>
        </w:rPr>
      </w:pPr>
      <w:r>
        <w:rPr>
          <w:rFonts w:hint="eastAsia" w:ascii="黑体" w:hAnsi="黑体" w:eastAsia="黑体" w:cs="Times New Roman"/>
          <w:sz w:val="32"/>
          <w:szCs w:val="32"/>
          <w:lang w:eastAsia="zh-CN"/>
        </w:rPr>
        <w:t>五、</w:t>
      </w:r>
      <w:r>
        <w:rPr>
          <w:rFonts w:hint="eastAsia" w:ascii="黑体" w:hAnsi="黑体" w:eastAsia="黑体" w:cs="Times New Roman"/>
          <w:sz w:val="32"/>
          <w:szCs w:val="32"/>
        </w:rPr>
        <w:t>绩效预算信息</w:t>
      </w:r>
    </w:p>
    <w:p>
      <w:pPr>
        <w:ind w:firstLine="643" w:firstLineChars="200"/>
        <w:rPr>
          <w:rFonts w:cs="Times New Roman" w:asciiTheme="minorEastAsia" w:hAnsiTheme="minorEastAsia"/>
          <w:b/>
          <w:sz w:val="32"/>
          <w:szCs w:val="32"/>
        </w:rPr>
      </w:pPr>
      <w:r>
        <w:rPr>
          <w:rFonts w:cs="Times New Roman" w:asciiTheme="minorEastAsia" w:hAnsiTheme="minorEastAsia"/>
          <w:b/>
          <w:sz w:val="32"/>
          <w:szCs w:val="32"/>
        </w:rPr>
        <w:t>总体绩效目标：</w:t>
      </w:r>
    </w:p>
    <w:p>
      <w:pPr>
        <w:ind w:firstLine="640"/>
        <w:rPr>
          <w:rFonts w:hint="eastAsia" w:ascii="仿宋" w:hAnsi="仿宋" w:eastAsia="仿宋" w:cs="Times New Roman"/>
          <w:sz w:val="32"/>
          <w:szCs w:val="32"/>
        </w:rPr>
      </w:pPr>
      <w:r>
        <w:rPr>
          <w:rFonts w:hint="eastAsia" w:ascii="仿宋_GB2312" w:hAnsi="仿宋_GB2312" w:eastAsia="仿宋_GB2312" w:cs="仿宋_GB2312"/>
          <w:b/>
          <w:sz w:val="32"/>
          <w:szCs w:val="32"/>
          <w:lang w:val="en-US" w:eastAsia="zh-CN"/>
        </w:rPr>
        <w:t>1</w:t>
      </w:r>
      <w:r>
        <w:rPr>
          <w:rFonts w:hint="eastAsia" w:ascii="楷体" w:hAnsi="楷体" w:eastAsia="楷体" w:cs="Times New Roman"/>
          <w:b/>
          <w:sz w:val="32"/>
          <w:szCs w:val="32"/>
          <w:lang w:val="en-US" w:eastAsia="zh-CN"/>
        </w:rPr>
        <w:t>、</w:t>
      </w:r>
      <w:r>
        <w:rPr>
          <w:rFonts w:hint="eastAsia" w:ascii="楷体" w:hAnsi="楷体" w:eastAsia="楷体" w:cs="Times New Roman"/>
          <w:b/>
          <w:sz w:val="32"/>
          <w:szCs w:val="32"/>
        </w:rPr>
        <w:t>政务服务</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突出政务、加强事务、提升服务，力求重点工作出精品，难点工作求突破、基础工作有创新、常规工作见特色。以机关干部作风量化指标为依据，增强了工作综合服务实力。</w:t>
      </w:r>
    </w:p>
    <w:p>
      <w:pPr>
        <w:ind w:firstLine="640"/>
        <w:rPr>
          <w:rFonts w:hint="eastAsia" w:ascii="仿宋" w:hAnsi="仿宋" w:eastAsia="仿宋" w:cs="Times New Roman"/>
          <w:sz w:val="32"/>
          <w:szCs w:val="32"/>
        </w:rPr>
      </w:pPr>
      <w:r>
        <w:rPr>
          <w:rFonts w:hint="eastAsia" w:ascii="楷体_GB2312" w:hAnsi="楷体_GB2312" w:eastAsia="楷体_GB2312" w:cs="楷体_GB2312"/>
          <w:b/>
          <w:bCs/>
          <w:sz w:val="32"/>
          <w:szCs w:val="32"/>
          <w:lang w:val="en-US" w:eastAsia="zh-CN"/>
        </w:rPr>
        <w:t>2</w:t>
      </w:r>
      <w:r>
        <w:rPr>
          <w:rFonts w:hint="eastAsia" w:ascii="楷体" w:hAnsi="楷体" w:eastAsia="楷体" w:cs="Times New Roman"/>
          <w:b/>
          <w:sz w:val="32"/>
          <w:szCs w:val="32"/>
          <w:lang w:val="en-US" w:eastAsia="zh-CN"/>
        </w:rPr>
        <w:t>、应急管理</w:t>
      </w:r>
      <w:r>
        <w:rPr>
          <w:rFonts w:hint="eastAsia" w:ascii="仿宋_GB2312" w:hAnsi="仿宋_GB2312" w:eastAsia="仿宋_GB2312" w:cs="仿宋_GB2312"/>
          <w:b/>
          <w:sz w:val="32"/>
          <w:szCs w:val="32"/>
          <w:lang w:val="en-US" w:eastAsia="zh-CN"/>
        </w:rPr>
        <w:t xml:space="preserve"> </w:t>
      </w:r>
      <w:r>
        <w:rPr>
          <w:rFonts w:hint="eastAsia" w:ascii="仿宋" w:hAnsi="仿宋" w:eastAsia="仿宋" w:cs="Times New Roman"/>
          <w:sz w:val="32"/>
          <w:szCs w:val="32"/>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村、各部门应急工作，确保信息报送及时畅通，不出差错和问题。</w:t>
      </w:r>
    </w:p>
    <w:p>
      <w:pPr>
        <w:ind w:firstLine="640"/>
        <w:rPr>
          <w:rFonts w:hint="eastAsia" w:ascii="仿宋" w:hAnsi="仿宋" w:eastAsia="仿宋" w:cs="Times New Roman"/>
          <w:sz w:val="32"/>
          <w:szCs w:val="32"/>
          <w:lang w:val="en-US" w:eastAsia="zh-CN"/>
        </w:rPr>
      </w:pPr>
      <w:r>
        <w:rPr>
          <w:rFonts w:hint="eastAsia" w:ascii="楷体_GB2312" w:hAnsi="楷体_GB2312" w:eastAsia="楷体_GB2312" w:cs="楷体_GB2312"/>
          <w:b/>
          <w:bCs/>
          <w:sz w:val="32"/>
          <w:szCs w:val="32"/>
          <w:lang w:val="en-US" w:eastAsia="zh-CN"/>
        </w:rPr>
        <w:t>3、</w:t>
      </w:r>
      <w:r>
        <w:rPr>
          <w:rFonts w:hint="eastAsia" w:ascii="楷体" w:hAnsi="楷体" w:eastAsia="楷体" w:cs="Times New Roman"/>
          <w:b/>
          <w:sz w:val="32"/>
          <w:szCs w:val="32"/>
          <w:lang w:val="en-US" w:eastAsia="zh-CN"/>
        </w:rPr>
        <w:t>信访问题处理</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负责正常信访、进京非访、越级访、突发性及群体性事件的办理；提供相关服务保障；协助省市县信访局处理全县群众越级上访；信访事项督查、复查复核、听证；上级交办件的查办以及网上信访业务；负责县委县政府交办的其他事项</w:t>
      </w:r>
      <w:r>
        <w:rPr>
          <w:rFonts w:hint="eastAsia" w:ascii="仿宋" w:hAnsi="仿宋" w:eastAsia="仿宋" w:cs="Times New Roman"/>
          <w:sz w:val="32"/>
          <w:szCs w:val="32"/>
          <w:lang w:eastAsia="zh-CN"/>
        </w:rPr>
        <w:t>。</w:t>
      </w:r>
    </w:p>
    <w:p>
      <w:pPr>
        <w:ind w:firstLine="640"/>
        <w:rPr>
          <w:rFonts w:hint="eastAsia" w:ascii="仿宋" w:hAnsi="仿宋" w:eastAsia="仿宋" w:cs="Times New Roman"/>
          <w:sz w:val="32"/>
          <w:szCs w:val="32"/>
          <w:lang w:val="en-US" w:eastAsia="zh-CN"/>
        </w:rPr>
      </w:pPr>
      <w:r>
        <w:rPr>
          <w:rFonts w:hint="eastAsia" w:ascii="楷体_GB2312" w:hAnsi="楷体_GB2312" w:eastAsia="楷体_GB2312" w:cs="楷体_GB2312"/>
          <w:b/>
          <w:bCs/>
          <w:sz w:val="32"/>
          <w:szCs w:val="32"/>
          <w:lang w:val="en-US" w:eastAsia="zh-CN"/>
        </w:rPr>
        <w:t>4</w:t>
      </w:r>
      <w:r>
        <w:rPr>
          <w:rFonts w:hint="eastAsia" w:ascii="楷体" w:hAnsi="楷体" w:eastAsia="楷体" w:cs="Times New Roman"/>
          <w:b/>
          <w:sz w:val="32"/>
          <w:szCs w:val="32"/>
          <w:lang w:val="en-US" w:eastAsia="zh-CN"/>
        </w:rPr>
        <w:t>、财政收入管理</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认真测算税制改革对经济发展的影响，强化税收分析研判，妥善应对税收增减变化。密切关注宏观经济形势和企业经营情况的变化</w:t>
      </w:r>
      <w:r>
        <w:rPr>
          <w:rFonts w:hint="eastAsia" w:ascii="仿宋_GB2312" w:hAnsi="仿宋_GB2312" w:eastAsia="仿宋_GB2312" w:cs="仿宋_GB2312"/>
          <w:sz w:val="32"/>
          <w:szCs w:val="32"/>
        </w:rPr>
        <w:t>，</w:t>
      </w:r>
      <w:r>
        <w:rPr>
          <w:rFonts w:hint="eastAsia" w:ascii="仿宋" w:hAnsi="仿宋" w:eastAsia="仿宋" w:cs="Times New Roman"/>
          <w:sz w:val="32"/>
          <w:szCs w:val="32"/>
        </w:rPr>
        <w:t>强化对财政收入的分析预测和组织调度，确保财政收入均衡入库。加强非税收入征管，拓宽非税收入收缴方式。</w:t>
      </w:r>
    </w:p>
    <w:p>
      <w:pPr>
        <w:ind w:firstLine="640"/>
        <w:rPr>
          <w:rFonts w:hint="eastAsia" w:ascii="仿宋" w:hAnsi="仿宋" w:eastAsia="仿宋" w:cs="Times New Roman"/>
          <w:sz w:val="32"/>
          <w:szCs w:val="32"/>
          <w:lang w:val="en-US" w:eastAsia="zh-CN"/>
        </w:rPr>
      </w:pPr>
      <w:r>
        <w:rPr>
          <w:rFonts w:hint="eastAsia" w:ascii="楷体_GB2312" w:hAnsi="楷体_GB2312" w:eastAsia="楷体_GB2312" w:cs="楷体_GB2312"/>
          <w:b/>
          <w:bCs/>
          <w:sz w:val="32"/>
          <w:szCs w:val="32"/>
          <w:lang w:val="en-US" w:eastAsia="zh-CN"/>
        </w:rPr>
        <w:t>5</w:t>
      </w:r>
      <w:r>
        <w:rPr>
          <w:rFonts w:hint="eastAsia" w:ascii="楷体" w:hAnsi="楷体" w:eastAsia="楷体" w:cs="Times New Roman"/>
          <w:b/>
          <w:sz w:val="32"/>
          <w:szCs w:val="32"/>
          <w:lang w:val="en-US" w:eastAsia="zh-CN"/>
        </w:rPr>
        <w:t>、预算管理</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编制年度预算决算草案并组织执行，受镇政府委托，向镇人民代表大会报告全镇预算及其执行情况，向镇人大常委会报告决算；组织制定经费开支标准、定额；批复部门年度预决算。</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6、文化管理</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确保各项业务工作谋划到位、顺利开展。保障机关工作正常高效运转。</w:t>
      </w:r>
    </w:p>
    <w:p>
      <w:pPr>
        <w:ind w:firstLine="640"/>
        <w:rPr>
          <w:rFonts w:hint="eastAsia" w:ascii="仿宋" w:hAnsi="仿宋" w:eastAsia="仿宋" w:cs="Times New Roman"/>
          <w:sz w:val="32"/>
          <w:szCs w:val="32"/>
          <w:lang w:val="en-US" w:eastAsia="zh-CN"/>
        </w:rPr>
      </w:pPr>
      <w:r>
        <w:rPr>
          <w:rFonts w:hint="eastAsia" w:ascii="楷体_GB2312" w:hAnsi="楷体_GB2312" w:eastAsia="楷体_GB2312" w:cs="楷体_GB2312"/>
          <w:b/>
          <w:bCs/>
          <w:sz w:val="32"/>
          <w:szCs w:val="32"/>
          <w:lang w:val="en-US" w:eastAsia="zh-CN"/>
        </w:rPr>
        <w:t>7</w:t>
      </w:r>
      <w:r>
        <w:rPr>
          <w:rFonts w:hint="eastAsia" w:ascii="楷体" w:hAnsi="楷体" w:eastAsia="楷体" w:cs="Times New Roman"/>
          <w:b/>
          <w:sz w:val="32"/>
          <w:szCs w:val="32"/>
          <w:lang w:val="en-US" w:eastAsia="zh-CN"/>
        </w:rPr>
        <w:t xml:space="preserve">、文艺联络 </w:t>
      </w:r>
      <w:r>
        <w:rPr>
          <w:rFonts w:hint="eastAsia" w:ascii="仿宋" w:hAnsi="仿宋" w:eastAsia="仿宋" w:cs="Times New Roman"/>
          <w:sz w:val="32"/>
          <w:szCs w:val="32"/>
        </w:rPr>
        <w:t>组织召开协会会议，组织文艺研修，提高广大文艺工作者的政治和业务素质</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8、计划生育</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稳定适度的低生育水平，有效保障计划生育家庭生活水平，提高妇女生殖健康水平，降低出生缺陷的发生，有效遏制出生人口性别比偏高问题。</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9、自然生态保护</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加强自然生态保护。</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 xml:space="preserve">10、国土资源政务管理 </w:t>
      </w:r>
      <w:r>
        <w:rPr>
          <w:rFonts w:hint="eastAsia" w:ascii="仿宋" w:hAnsi="仿宋" w:eastAsia="仿宋" w:cs="Times New Roman"/>
          <w:sz w:val="32"/>
          <w:szCs w:val="32"/>
        </w:rPr>
        <w:t>进一步增强国土资源管理能力</w:t>
      </w:r>
      <w:r>
        <w:rPr>
          <w:rFonts w:hint="eastAsia" w:ascii="仿宋" w:hAnsi="仿宋" w:eastAsia="仿宋" w:cs="Times New Roman"/>
          <w:sz w:val="32"/>
          <w:szCs w:val="32"/>
          <w:lang w:eastAsia="zh-CN"/>
        </w:rPr>
        <w:t>。</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11、农业科技支撑和公共服务</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促进农业现代化，提高农业劳动生产率，增加农民收入</w:t>
      </w:r>
      <w:r>
        <w:rPr>
          <w:rFonts w:hint="eastAsia" w:ascii="仿宋" w:hAnsi="仿宋" w:eastAsia="仿宋" w:cs="Times New Roman"/>
          <w:sz w:val="32"/>
          <w:szCs w:val="32"/>
          <w:lang w:eastAsia="zh-CN"/>
        </w:rPr>
        <w:t>。</w:t>
      </w:r>
    </w:p>
    <w:p>
      <w:pPr>
        <w:ind w:firstLine="640"/>
        <w:rPr>
          <w:rFonts w:hint="eastAsia" w:ascii="仿宋" w:hAnsi="仿宋" w:eastAsia="仿宋" w:cs="Times New Roman"/>
          <w:sz w:val="32"/>
          <w:szCs w:val="32"/>
          <w:lang w:val="en-US" w:eastAsia="zh-CN"/>
        </w:rPr>
      </w:pPr>
      <w:r>
        <w:rPr>
          <w:rFonts w:hint="eastAsia" w:ascii="楷体" w:hAnsi="楷体" w:eastAsia="楷体" w:cs="Times New Roman"/>
          <w:b/>
          <w:sz w:val="32"/>
          <w:szCs w:val="32"/>
          <w:lang w:val="en-US" w:eastAsia="zh-CN"/>
        </w:rPr>
        <w:t>12、林业科技支撑和公共服务</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推广林业生产管理的良种、良法，提高林产品品质和经济效益。</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eastAsia="zh-CN"/>
        </w:rPr>
        <w:t>2019</w:t>
      </w:r>
      <w:r>
        <w:rPr>
          <w:rFonts w:hint="eastAsia" w:ascii="仿宋" w:hAnsi="仿宋" w:eastAsia="仿宋" w:cs="Times New Roman"/>
          <w:sz w:val="32"/>
          <w:szCs w:val="32"/>
        </w:rPr>
        <w:t>年，部门职责及工作活动绩效目标指标</w:t>
      </w:r>
      <w:bookmarkStart w:id="0" w:name="_Toc471398463"/>
    </w:p>
    <w:p>
      <w:pPr>
        <w:jc w:val="center"/>
        <w:outlineLvl w:val="0"/>
        <w:rPr>
          <w:rFonts w:hint="eastAsia" w:ascii="方正小标宋_GBK" w:eastAsia="方正小标宋_GBK"/>
          <w:sz w:val="32"/>
        </w:rPr>
      </w:pPr>
      <w:bookmarkStart w:id="1" w:name="_Toc509903855"/>
      <w:r>
        <w:rPr>
          <w:rFonts w:hint="eastAsia" w:ascii="方正小标宋_GBK" w:eastAsia="方正小标宋_GBK"/>
          <w:sz w:val="32"/>
        </w:rPr>
        <w:t>部门职责-工作活动绩效目标</w:t>
      </w:r>
      <w:bookmarkEnd w:id="1"/>
    </w:p>
    <w:bookmarkEnd w:id="0"/>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842"/>
        <w:gridCol w:w="1551"/>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978</w:t>
            </w:r>
            <w:r>
              <w:rPr>
                <w:rFonts w:hint="eastAsia" w:ascii="方正小标宋_GBK" w:eastAsia="方正小标宋_GBK"/>
                <w:sz w:val="24"/>
              </w:rPr>
              <w:t>安平镇</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42"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842" w:type="dxa"/>
            <w:vMerge w:val="continue"/>
            <w:noWrap w:val="0"/>
            <w:vAlign w:val="center"/>
          </w:tcPr>
          <w:p>
            <w:pPr>
              <w:spacing w:line="300" w:lineRule="exact"/>
              <w:jc w:val="left"/>
              <w:outlineLvl w:val="0"/>
            </w:pPr>
          </w:p>
        </w:tc>
        <w:tc>
          <w:tcPr>
            <w:tcW w:w="1551"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一、政务服务</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38094.03</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政务公开、镇政府会议管理、督察督办、政务联络等工作。</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551"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、政务公开</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38094.03</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承担镇政务公开暨行政权力公开透明运行工作领导小组的日常工作，指导和协调全镇政务公开及政务服务中心建设、推进行政服务体系标准化建设工作。</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通过完成镇政务信息公开工作的指导监督工作，使全县政府信息公开业务队伍素质不断提高，业务水平进一步提升；政府政务信息公开范围不断扩大，公开内容得到进一步细化。</w:t>
            </w:r>
          </w:p>
        </w:tc>
        <w:tc>
          <w:tcPr>
            <w:tcW w:w="1551" w:type="dxa"/>
            <w:noWrap w:val="0"/>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、督查督办</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督促检查镇政府各部门对政府决定事项及政府领导重要指示的执行落实情况并跟踪调研，及时向镇政府领导报告。组织承办人大代表提案工作。</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确保镇长政府决定事项及镇政府领导重要指示得到贯彻落实。</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决策部署督查反馈率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二、应急管理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镇政府值班工作，及时报告重要情况，传达和督促落实镇政府领导指示。协助镇政府领导做好需由镇政府组织处理的突发事件应急处置工作。</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村、各部门应急工作，确保信息报送及时畅通，不出差错和问题。</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、应急管理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镇政府值班工作，及时报告重要情况，传达和督促落实镇政府领导指示。协助镇政府领导做好需由镇政府组织处理的突发事件应急处置工作。</w:t>
            </w:r>
          </w:p>
        </w:tc>
        <w:tc>
          <w:tcPr>
            <w:tcW w:w="2842"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维护好镇政府应急平台，确保全镇应急工作顺利完成；各类突发事件得到及时妥善处置</w:t>
            </w:r>
          </w:p>
        </w:tc>
        <w:tc>
          <w:tcPr>
            <w:tcW w:w="1551" w:type="dxa"/>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应急平台互联互通率</w:t>
            </w:r>
            <w:r>
              <w:rPr>
                <w:rFonts w:ascii="方正书宋_GBK" w:eastAsia="方正书宋_GBK"/>
              </w:rPr>
              <w:t>2.</w:t>
            </w:r>
            <w:r>
              <w:rPr>
                <w:rFonts w:hint="eastAsia" w:ascii="方正书宋_GBK" w:eastAsia="方正书宋_GBK"/>
              </w:rPr>
              <w:t>突发事件处理</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1.  100%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 xml:space="preserve">1.  </w:t>
            </w: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 xml:space="preserve">1.  </w:t>
            </w: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 xml:space="preserve">1.  </w:t>
            </w: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842" w:type="dxa"/>
            <w:vMerge w:val="continue"/>
            <w:noWrap w:val="0"/>
            <w:vAlign w:val="center"/>
          </w:tcPr>
          <w:p>
            <w:pPr>
              <w:spacing w:line="300" w:lineRule="exact"/>
              <w:jc w:val="left"/>
              <w:rPr>
                <w:rFonts w:hint="eastAsia" w:ascii="方正书宋_GBK" w:eastAsia="方正书宋_GBK"/>
              </w:rPr>
            </w:pPr>
          </w:p>
        </w:tc>
        <w:tc>
          <w:tcPr>
            <w:tcW w:w="1551"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应急平台互联互通率</w:t>
            </w:r>
            <w:r>
              <w:rPr>
                <w:rFonts w:ascii="方正书宋_GBK" w:eastAsia="方正书宋_GBK"/>
              </w:rPr>
              <w:t>2.</w:t>
            </w:r>
            <w:r>
              <w:rPr>
                <w:rFonts w:hint="eastAsia" w:ascii="方正书宋_GBK" w:eastAsia="方正书宋_GBK"/>
              </w:rPr>
              <w:t>突发事件处理</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91%</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三、信访问题处理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正常信访、进京非访、越级访、突发性及群体性事件的办理；提供相关服务保障；协助省市县信访局处理全县群众越级上访；信访事项督查、复查复核、听证；上级交办件的查办以及网上信访业务；负责县委县政府交办的其他事项。</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正常信访、进京非访、越级访、突发性及群体性事件的办理；提供相关服务保障；协助省市县信访局处理全县群众越级上访；信访事项督查、复查复核、听证；上级交办件的查办以及网上信访业务；负责县委县政府交办的其他事项。</w:t>
            </w:r>
          </w:p>
        </w:tc>
        <w:tc>
          <w:tcPr>
            <w:tcW w:w="1551"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、全国两会期间信访维稳安保</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负责全国两会期间的信访维稳值班工作，组成进京值班工作组，及时劝返我镇进京上访人员，协调化解信访案件，确保零登记、零通报目标。</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551" w:type="dxa"/>
            <w:noWrap w:val="0"/>
            <w:vAlign w:val="center"/>
          </w:tcPr>
          <w:p>
            <w:pPr>
              <w:spacing w:line="300" w:lineRule="exact"/>
              <w:jc w:val="left"/>
              <w:rPr>
                <w:rFonts w:ascii="方正书宋_GBK" w:eastAsia="方正书宋_GBK"/>
              </w:rPr>
            </w:pPr>
            <w:r>
              <w:rPr>
                <w:rFonts w:hint="eastAsia" w:ascii="方正书宋_GBK" w:eastAsia="方正书宋_GBK"/>
              </w:rPr>
              <w:t>涉密</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、信访事项督查、复查复核、听证</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负责指导全镇信访事项督查、复查复核、听证等作，并对相关事项进行审核、上报；负责三跨三分离案件的办理工作，负责疑难信访案件的督办。</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四、财政收入管理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深化税收制度改革，研究完善和规范地方性税收法规，规范税收优惠政策，监督检查税政政策执行情况。</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认真测算税制改革对经济发展的影响，强化税收分析研判，妥善应对税收增减变化。密切关注宏观经济形势和企业经营情况的变化，强化对财政收入的分析预测和组织调度，确保财政收入均衡入库。加强非税收入征管，拓宽非税收入收缴方式。</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、财政收入征收管理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贯彻国家税收政策，负责制定全镇财政和预算收入计划，管理和监督各项财政收入；管理财政票据。</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保证全镇财政收入按时、足额完成</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保证全镇财政收入按时、足额完成</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五、预算管理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研究制定完善的预算政策体系，提高预算管理的科学化水平。统筹全镇财力，强化绩效管理，科学编制政府绩效预算。规范预算执行，合理组织财政各项支出，促进社会事业发展。推进预算公开，实施全面规范、公开透明的预算制度。</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编制年度预算决算草案并组织执行，受镇政府委托，向镇人民代表大会报告全镇预算及其执行情况，向镇人大常委会报告决算；组织制定经费开支标准、定额；批复部门年度预决算。</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、预算政策管理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拟定预算方案，并组织实施。</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起草财政预算草案</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制定预算政策个数，</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、预算编制管理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负责编制年度本级公共财政预算，编制镇年度预决算草案，向镇人民代表大会报告全镇预算情况。</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严格规范超收收入使用管理，加强对年度预算的约束。</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按时完成镇公共财政预算。按时编制镇年度预决算草案。</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按时全部完成</w:t>
            </w:r>
            <w:r>
              <w:rPr>
                <w:rFonts w:ascii="方正书宋_GBK" w:eastAsia="方正书宋_GBK"/>
              </w:rPr>
              <w:t>100%</w:t>
            </w:r>
            <w:r>
              <w:rPr>
                <w:rFonts w:hint="eastAsia" w:ascii="方正书宋_GBK" w:eastAsia="方正书宋_GBK"/>
              </w:rPr>
              <w:t>，且通过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按时完成</w:t>
            </w:r>
            <w:r>
              <w:rPr>
                <w:rFonts w:ascii="方正书宋_GBK" w:eastAsia="方正书宋_GBK"/>
              </w:rPr>
              <w:t>100%</w:t>
            </w:r>
            <w:r>
              <w:rPr>
                <w:rFonts w:hint="eastAsia" w:ascii="方正书宋_GBK" w:eastAsia="方正书宋_GBK"/>
              </w:rPr>
              <w:t>，未通过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未按时完成，但通过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未按时完成，且未通过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、预算执行管理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预算资金审核拨付与监管；及时登记预算执行情况；财政经济形势分析预测，提供预算执行信息及分析资料。</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支出资金及时准确登记；为领导决策提供分析报告</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经费收入及支出情况。</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95-99%</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85-94%</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六、文化管理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负责系统综合业务管理和机关综合事务管理。</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主要开展设施维护运行等保障运转工作。</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保障机关工作正常高效运转。</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设施运转保障程度</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七、文艺联络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组织召开全镇文化系统的工作会议</w:t>
            </w:r>
            <w:r>
              <w:rPr>
                <w:rFonts w:ascii="方正书宋_GBK" w:eastAsia="方正书宋_GBK"/>
              </w:rPr>
              <w:t>,</w:t>
            </w:r>
            <w:r>
              <w:rPr>
                <w:rFonts w:hint="eastAsia" w:ascii="方正书宋_GBK" w:eastAsia="方正书宋_GBK"/>
              </w:rPr>
              <w:t>听取和反映文艺界的情况和意见。</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组织召开协会会议，组织文艺研修，提高广大文艺工作者的政治和业务素质</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、文艺联络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召开协会会议，加强会员管理，举办会员活动，维护活动场所，建设文艺人才资源库，组织文艺研修，提高广大文艺工作者的政治、业务素质。</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提高广大文艺工作者素质，推进各门类艺术业务联络与活动。</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文艺研修教育</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八、计划生育</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提供各类计划生育技术服务，建立利益导向机制，开展出生人口性别比治理以及流动人口计划生育管理等各项工作。</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稳定适度的低生育水平，有效保障计划生育家庭生活水平，提高妇女生殖健康水平，降低出生缺陷的发生，有效遏制出生人口性别比偏高问题。</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、计划生育奖励扶持政策</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采取奖励、扶助、社会保障等机制，引导家庭和个人计划生育措施，提高计划生育家庭发展能力。</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增强群众自觉实行计划生育的积极性，稳定适度的低生育水平，提高计划生育家庭发展能力，增强计划生育家庭的凝聚力及成员幸福感。</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农村部分计划生育家庭奖励扶助政策落实率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九、自然生态保护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强化生态保护和监察监管，提升农村生态环境质量。</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加强自然生态保护。</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解决农村区域性突出环境问题</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试点、示范区域村庄污水处理率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十、国土资源政务管理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负责国土资源系统综合业务管理和机关综合事务管理。</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进一步增强国土资源管理能力。</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35"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做好国土资源相关综合性事务管理，保证行政工作高效有序运行。</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提高国土资源事业发展保障能力。</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保障国土资源管理各项工作正常运行</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十一、农业科技支撑和公共服务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促进农业现代化，提高农业劳动生产率，增加农民收入。</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、农业技术推广与研究</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建设农业创新团队，农业关键技术研究与应用示范，开展农业新技术推广、示范。</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发挥农业科技支撑作用，通过新技术成果的展示，辐射带动全县适宜区域的农业行业技术推广应用</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新技术推广完成率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十二、林业科技支撑和公共服务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组织指导全镇林业及其生态建设的科技创新和技术示范推广，为林业生态发展和林产品生产提供公共支撑。</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推广林业生产管理的良种、良法，提高林产品品质和经济效益。</w:t>
            </w:r>
          </w:p>
        </w:tc>
        <w:tc>
          <w:tcPr>
            <w:tcW w:w="1551"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、林业防灾减灾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指导、组织开展林业有害生物的防治、检疫工作。</w:t>
            </w:r>
          </w:p>
        </w:tc>
        <w:tc>
          <w:tcPr>
            <w:tcW w:w="2842" w:type="dxa"/>
            <w:noWrap w:val="0"/>
            <w:vAlign w:val="center"/>
          </w:tcPr>
          <w:p>
            <w:pPr>
              <w:spacing w:line="300" w:lineRule="exact"/>
              <w:jc w:val="left"/>
              <w:rPr>
                <w:rFonts w:hint="eastAsia" w:ascii="方正书宋_GBK" w:eastAsia="方正书宋_GBK"/>
              </w:rPr>
            </w:pPr>
            <w:r>
              <w:rPr>
                <w:rFonts w:hint="eastAsia" w:ascii="方正书宋_GBK" w:eastAsia="方正书宋_GBK"/>
              </w:rPr>
              <w:t>预防和减少自然灾害对森林资源的损失，保护森林资源</w:t>
            </w:r>
          </w:p>
        </w:tc>
        <w:tc>
          <w:tcPr>
            <w:tcW w:w="1551" w:type="dxa"/>
            <w:noWrap w:val="0"/>
            <w:vAlign w:val="center"/>
          </w:tcPr>
          <w:p>
            <w:pPr>
              <w:spacing w:line="300" w:lineRule="exact"/>
              <w:jc w:val="left"/>
              <w:rPr>
                <w:rFonts w:hint="eastAsia" w:ascii="方正书宋_GBK" w:eastAsia="方正书宋_GBK"/>
              </w:rPr>
            </w:pPr>
            <w:r>
              <w:rPr>
                <w:rFonts w:hint="eastAsia" w:ascii="方正书宋_GBK" w:eastAsia="方正书宋_GBK"/>
              </w:rPr>
              <w:t>林业有害生物成灾率控制在</w:t>
            </w:r>
            <w:r>
              <w:rPr>
                <w:rFonts w:ascii="方正书宋_GBK" w:eastAsia="方正书宋_GBK"/>
              </w:rPr>
              <w:t>4‰</w:t>
            </w:r>
            <w:r>
              <w:rPr>
                <w:rFonts w:hint="eastAsia" w:ascii="方正书宋_GBK" w:eastAsia="方正书宋_GBK"/>
              </w:rPr>
              <w:t>以下</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&gt;10‰</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p>
      <w:pPr>
        <w:numPr>
          <w:ilvl w:val="0"/>
          <w:numId w:val="3"/>
        </w:numPr>
        <w:ind w:firstLine="640"/>
        <w:rPr>
          <w:rFonts w:hint="eastAsia" w:ascii="黑体" w:hAnsi="黑体" w:eastAsia="黑体" w:cs="Times New Roman"/>
          <w:sz w:val="32"/>
          <w:szCs w:val="32"/>
        </w:rPr>
      </w:pPr>
      <w:r>
        <w:rPr>
          <w:rFonts w:hint="eastAsia" w:ascii="黑体" w:hAnsi="黑体" w:eastAsia="黑体" w:cs="Times New Roman"/>
          <w:sz w:val="32"/>
          <w:szCs w:val="32"/>
        </w:rPr>
        <w:t>政府采购预算情况</w:t>
      </w:r>
    </w:p>
    <w:p>
      <w:pPr>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2019年，本部门没有安排政府采购预算。</w:t>
      </w:r>
    </w:p>
    <w:p>
      <w:pPr>
        <w:jc w:val="center"/>
        <w:outlineLvl w:val="0"/>
        <w:rPr>
          <w:rFonts w:ascii="宋体" w:hAnsi="宋体"/>
          <w:sz w:val="32"/>
          <w:szCs w:val="24"/>
        </w:rPr>
      </w:pPr>
      <w:r>
        <w:rPr>
          <w:rFonts w:hint="eastAsia" w:ascii="宋体" w:hAnsi="宋体"/>
          <w:sz w:val="32"/>
          <w:szCs w:val="24"/>
        </w:rPr>
        <w:t>部门政府采购预算</w:t>
      </w:r>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sz w:val="24"/>
                <w:szCs w:val="24"/>
              </w:rPr>
            </w:pPr>
            <w:r>
              <w:rPr>
                <w:rFonts w:hint="eastAsia" w:ascii="宋体" w:hAnsi="宋体" w:eastAsia="宋体" w:cs="宋体"/>
                <w:kern w:val="0"/>
                <w:sz w:val="22"/>
              </w:rPr>
              <w:t>编制部门：香河县</w:t>
            </w:r>
            <w:r>
              <w:rPr>
                <w:rFonts w:hint="eastAsia" w:ascii="宋体" w:hAnsi="宋体" w:eastAsia="宋体" w:cs="宋体"/>
                <w:kern w:val="0"/>
                <w:sz w:val="22"/>
                <w:lang w:eastAsia="zh-CN"/>
              </w:rPr>
              <w:t>安平镇</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pStyle w:val="2"/>
        <w:rPr>
          <w:rFonts w:hint="eastAsia" w:hAnsi="宋体" w:cs="宋体"/>
        </w:rPr>
      </w:pPr>
    </w:p>
    <w:p>
      <w:pPr>
        <w:ind w:firstLine="640"/>
        <w:rPr>
          <w:rFonts w:hint="eastAsia" w:ascii="仿宋" w:hAnsi="仿宋" w:eastAsia="仿宋" w:cs="Times New Roman"/>
          <w:sz w:val="32"/>
          <w:szCs w:val="32"/>
          <w:lang w:val="en-US" w:eastAsia="zh-CN"/>
        </w:rPr>
      </w:pPr>
    </w:p>
    <w:p>
      <w:pPr>
        <w:ind w:firstLine="64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 w:hAnsi="仿宋" w:eastAsia="仿宋" w:cs="Times New Roman"/>
          <w:sz w:val="32"/>
          <w:szCs w:val="32"/>
        </w:rPr>
      </w:pP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安平镇</w:t>
      </w:r>
      <w:r>
        <w:rPr>
          <w:rFonts w:hint="eastAsia"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791.53</w:t>
      </w:r>
      <w:r>
        <w:rPr>
          <w:rFonts w:hint="eastAsia" w:ascii="仿宋" w:hAnsi="仿宋" w:eastAsia="仿宋" w:cs="Times New Roman"/>
          <w:sz w:val="32"/>
          <w:szCs w:val="32"/>
        </w:rPr>
        <w:t>万</w:t>
      </w:r>
      <w:r>
        <w:rPr>
          <w:rFonts w:hint="eastAsia" w:ascii="仿宋" w:hAnsi="仿宋" w:eastAsia="仿宋" w:cs="Times New Roman"/>
          <w:sz w:val="32"/>
          <w:szCs w:val="32"/>
          <w:lang w:eastAsia="zh-CN"/>
        </w:rPr>
        <w:t>，</w:t>
      </w:r>
      <w:r>
        <w:rPr>
          <w:rFonts w:hint="eastAsia" w:ascii="仿宋" w:hAnsi="仿宋" w:eastAsia="仿宋"/>
          <w:sz w:val="32"/>
          <w:szCs w:val="32"/>
        </w:rPr>
        <w:t>本年度各单位（处室）没有拟购置固定资产</w:t>
      </w:r>
      <w:r>
        <w:rPr>
          <w:rFonts w:hint="eastAsia" w:ascii="仿宋" w:hAnsi="仿宋" w:eastAsia="仿宋" w:cs="Times New Roman"/>
          <w:sz w:val="32"/>
          <w:szCs w:val="32"/>
        </w:rPr>
        <w:t>。详见下表。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w:t>
            </w:r>
            <w:r>
              <w:rPr>
                <w:rFonts w:hint="eastAsia" w:ascii="宋体" w:hAnsi="宋体" w:eastAsia="宋体" w:cs="宋体"/>
                <w:kern w:val="0"/>
                <w:sz w:val="22"/>
                <w:lang w:eastAsia="zh-CN"/>
              </w:rPr>
              <w:t>安平镇</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w:t>
            </w:r>
            <w:r>
              <w:rPr>
                <w:rFonts w:hint="eastAsia" w:ascii="宋体" w:hAnsi="宋体" w:eastAsia="宋体" w:cs="宋体"/>
                <w:kern w:val="0"/>
                <w:sz w:val="22"/>
                <w:lang w:eastAsia="zh-CN"/>
              </w:rPr>
              <w:t>2018</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791.52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2353</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156</w:t>
            </w: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1746</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109.2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120.16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813</w:t>
            </w:r>
            <w:bookmarkStart w:id="2" w:name="_GoBack"/>
            <w:bookmarkEnd w:id="2"/>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515.36</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1、一般公共预算拨款收入：</w:t>
      </w:r>
      <w:r>
        <w:rPr>
          <w:rFonts w:ascii="Times New Roman" w:hAnsi="Times New Roman" w:eastAsia="仿宋" w:cs="Times New Roman"/>
          <w:sz w:val="32"/>
          <w:szCs w:val="32"/>
        </w:rPr>
        <w:t>指省级财政当年拨付的资金。</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2、事业收入：</w:t>
      </w:r>
      <w:r>
        <w:rPr>
          <w:rFonts w:ascii="Times New Roman" w:hAnsi="Times New Roman" w:eastAsia="仿宋" w:cs="Times New Roman"/>
          <w:sz w:val="32"/>
          <w:szCs w:val="32"/>
        </w:rPr>
        <w:t>指事业单位开展专业业务活动及辅助活动所取得的收入。</w:t>
      </w:r>
    </w:p>
    <w:p>
      <w:pPr>
        <w:tabs>
          <w:tab w:val="left" w:pos="11490"/>
        </w:tabs>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3、其他收入：</w:t>
      </w:r>
      <w:r>
        <w:rPr>
          <w:rFonts w:ascii="Times New Roman" w:hAnsi="Times New Roman" w:eastAsia="仿宋" w:cs="Times New Roman"/>
          <w:sz w:val="32"/>
          <w:szCs w:val="32"/>
        </w:rPr>
        <w:t>指除“一般公共预算拨款收入”、“事业收入”等以外的收入。主要是按规定动用的租房收入、存款利息收入等。</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4、基本支出：</w:t>
      </w:r>
      <w:r>
        <w:rPr>
          <w:rFonts w:ascii="Times New Roman" w:hAnsi="Times New Roman" w:eastAsia="仿宋" w:cs="Times New Roman"/>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5、项目支出：</w:t>
      </w:r>
      <w:r>
        <w:rPr>
          <w:rFonts w:ascii="Times New Roman" w:hAnsi="Times New Roman" w:eastAsia="仿宋" w:cs="Times New Roman"/>
          <w:sz w:val="32"/>
          <w:szCs w:val="32"/>
        </w:rPr>
        <w:t>指在基本支出之外为完成特定行政任务和事业发展目标所发生的支出。</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6、上缴上级支出：</w:t>
      </w:r>
      <w:r>
        <w:rPr>
          <w:rFonts w:ascii="Times New Roman" w:hAnsi="Times New Roman" w:eastAsia="仿宋" w:cs="Times New Roman"/>
          <w:sz w:val="32"/>
          <w:szCs w:val="32"/>
        </w:rPr>
        <w:t>指下级单位上缴上级的支出。</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7、“三公”经费：</w:t>
      </w:r>
      <w:r>
        <w:rPr>
          <w:rFonts w:ascii="Times New Roman" w:hAnsi="Times New Roman" w:eastAsia="仿宋"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hint="eastAsia" w:ascii="Times New Roman" w:hAnsi="Times New Roman" w:eastAsia="仿宋" w:cs="Times New Roman"/>
          <w:sz w:val="32"/>
          <w:szCs w:val="32"/>
        </w:rPr>
      </w:pPr>
      <w:r>
        <w:rPr>
          <w:rFonts w:ascii="Times New Roman" w:hAnsi="Times New Roman" w:eastAsia="仿宋" w:cs="Times New Roman"/>
          <w:b/>
          <w:sz w:val="32"/>
          <w:szCs w:val="32"/>
        </w:rPr>
        <w:t>8、机关运行费：</w:t>
      </w:r>
      <w:r>
        <w:rPr>
          <w:rFonts w:ascii="Times New Roman" w:hAnsi="Times New Roman" w:eastAsia="仿宋"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9、上年结转：</w:t>
      </w:r>
      <w:r>
        <w:rPr>
          <w:rFonts w:ascii="Times New Roman" w:hAnsi="Times New Roman" w:eastAsia="仿宋" w:cs="Times New Roman"/>
          <w:sz w:val="32"/>
          <w:szCs w:val="32"/>
        </w:rPr>
        <w:t>指以前年度尚未完成、结转到本年仍按原规定用途继续使用的资金。</w:t>
      </w:r>
    </w:p>
    <w:p>
      <w:pPr>
        <w:tabs>
          <w:tab w:val="left" w:pos="11490"/>
        </w:tabs>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10、事业单位经营支出：</w:t>
      </w:r>
      <w:r>
        <w:rPr>
          <w:rFonts w:ascii="Times New Roman" w:hAnsi="Times New Roman" w:eastAsia="仿宋" w:cs="Times New Roman"/>
          <w:sz w:val="32"/>
          <w:szCs w:val="32"/>
        </w:rPr>
        <w:t>指事业单位在专业业务活动及其辅助活动之外开展非独立核算经营活动发生的支出。</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PingFang SC">
    <w:altName w:val="Courier New"/>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方正兰亭超细黑简体"/>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3E69E0"/>
    <w:multiLevelType w:val="singleLevel"/>
    <w:tmpl w:val="D03E69E0"/>
    <w:lvl w:ilvl="0" w:tentative="0">
      <w:start w:val="3"/>
      <w:numFmt w:val="decimal"/>
      <w:suff w:val="nothing"/>
      <w:lvlText w:val="%1、"/>
      <w:lvlJc w:val="left"/>
    </w:lvl>
  </w:abstractNum>
  <w:abstractNum w:abstractNumId="1">
    <w:nsid w:val="5950D2E3"/>
    <w:multiLevelType w:val="singleLevel"/>
    <w:tmpl w:val="5950D2E3"/>
    <w:lvl w:ilvl="0" w:tentative="0">
      <w:start w:val="6"/>
      <w:numFmt w:val="chineseCounting"/>
      <w:suff w:val="nothing"/>
      <w:lvlText w:val="%1、"/>
      <w:lvlJc w:val="left"/>
    </w:lvl>
  </w:abstractNum>
  <w:abstractNum w:abstractNumId="2">
    <w:nsid w:val="7719A516"/>
    <w:multiLevelType w:val="singleLevel"/>
    <w:tmpl w:val="7719A51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AA1"/>
    <w:rsid w:val="00037AF6"/>
    <w:rsid w:val="00045A61"/>
    <w:rsid w:val="00062DD6"/>
    <w:rsid w:val="000650DE"/>
    <w:rsid w:val="000751CD"/>
    <w:rsid w:val="00075D5F"/>
    <w:rsid w:val="00093D80"/>
    <w:rsid w:val="000A63E7"/>
    <w:rsid w:val="000B04B5"/>
    <w:rsid w:val="000C3A19"/>
    <w:rsid w:val="001245BB"/>
    <w:rsid w:val="00125FBB"/>
    <w:rsid w:val="0018479D"/>
    <w:rsid w:val="00203698"/>
    <w:rsid w:val="00223272"/>
    <w:rsid w:val="00241FD4"/>
    <w:rsid w:val="0024465C"/>
    <w:rsid w:val="00246DD9"/>
    <w:rsid w:val="002508C4"/>
    <w:rsid w:val="00251B12"/>
    <w:rsid w:val="00261354"/>
    <w:rsid w:val="002645FB"/>
    <w:rsid w:val="00296113"/>
    <w:rsid w:val="002C200A"/>
    <w:rsid w:val="002D1476"/>
    <w:rsid w:val="002D4AF7"/>
    <w:rsid w:val="002F3E58"/>
    <w:rsid w:val="0030542C"/>
    <w:rsid w:val="00311B7A"/>
    <w:rsid w:val="00332ABC"/>
    <w:rsid w:val="003A094E"/>
    <w:rsid w:val="003E1A7F"/>
    <w:rsid w:val="003F49E7"/>
    <w:rsid w:val="00451871"/>
    <w:rsid w:val="00472923"/>
    <w:rsid w:val="00497870"/>
    <w:rsid w:val="004B37C2"/>
    <w:rsid w:val="004E3066"/>
    <w:rsid w:val="004E74CD"/>
    <w:rsid w:val="004F6123"/>
    <w:rsid w:val="00520CEC"/>
    <w:rsid w:val="005632E5"/>
    <w:rsid w:val="00573562"/>
    <w:rsid w:val="00595C93"/>
    <w:rsid w:val="005C1AEB"/>
    <w:rsid w:val="006009A1"/>
    <w:rsid w:val="00614A29"/>
    <w:rsid w:val="00646686"/>
    <w:rsid w:val="006D6C8A"/>
    <w:rsid w:val="007323EB"/>
    <w:rsid w:val="0075393C"/>
    <w:rsid w:val="00757221"/>
    <w:rsid w:val="00776C08"/>
    <w:rsid w:val="007A1524"/>
    <w:rsid w:val="007B2D87"/>
    <w:rsid w:val="007B4EE0"/>
    <w:rsid w:val="007E1DA8"/>
    <w:rsid w:val="007F1DCF"/>
    <w:rsid w:val="007F6C26"/>
    <w:rsid w:val="007F7075"/>
    <w:rsid w:val="008334AE"/>
    <w:rsid w:val="00836FED"/>
    <w:rsid w:val="00845CD2"/>
    <w:rsid w:val="008502D8"/>
    <w:rsid w:val="00852B0D"/>
    <w:rsid w:val="00881692"/>
    <w:rsid w:val="008B3CC5"/>
    <w:rsid w:val="008C2BAF"/>
    <w:rsid w:val="008E4261"/>
    <w:rsid w:val="008F4662"/>
    <w:rsid w:val="00905D08"/>
    <w:rsid w:val="00925753"/>
    <w:rsid w:val="00927B0B"/>
    <w:rsid w:val="009668BA"/>
    <w:rsid w:val="00966C5C"/>
    <w:rsid w:val="00967BB9"/>
    <w:rsid w:val="00973104"/>
    <w:rsid w:val="009C119B"/>
    <w:rsid w:val="00A34D76"/>
    <w:rsid w:val="00A72D2E"/>
    <w:rsid w:val="00A911E7"/>
    <w:rsid w:val="00A939D9"/>
    <w:rsid w:val="00AA71ED"/>
    <w:rsid w:val="00AF6B63"/>
    <w:rsid w:val="00B043C4"/>
    <w:rsid w:val="00B20712"/>
    <w:rsid w:val="00B43238"/>
    <w:rsid w:val="00B75216"/>
    <w:rsid w:val="00B91D52"/>
    <w:rsid w:val="00BA1ACD"/>
    <w:rsid w:val="00BA408B"/>
    <w:rsid w:val="00C24BF5"/>
    <w:rsid w:val="00C8569A"/>
    <w:rsid w:val="00CA7176"/>
    <w:rsid w:val="00CD2773"/>
    <w:rsid w:val="00CE143B"/>
    <w:rsid w:val="00CE403B"/>
    <w:rsid w:val="00D361CD"/>
    <w:rsid w:val="00D80DB8"/>
    <w:rsid w:val="00DA2FDB"/>
    <w:rsid w:val="00E167C7"/>
    <w:rsid w:val="00E84FEB"/>
    <w:rsid w:val="00EC47F6"/>
    <w:rsid w:val="00EE1B43"/>
    <w:rsid w:val="00F153EF"/>
    <w:rsid w:val="00F50E15"/>
    <w:rsid w:val="00F61055"/>
    <w:rsid w:val="00F66032"/>
    <w:rsid w:val="00F958C2"/>
    <w:rsid w:val="00FB4CD3"/>
    <w:rsid w:val="00FC6357"/>
    <w:rsid w:val="00FD2081"/>
    <w:rsid w:val="00FE3D85"/>
    <w:rsid w:val="02A3654E"/>
    <w:rsid w:val="0496191E"/>
    <w:rsid w:val="061C71D2"/>
    <w:rsid w:val="06415DB1"/>
    <w:rsid w:val="096674BA"/>
    <w:rsid w:val="0BE123FD"/>
    <w:rsid w:val="1B603B5F"/>
    <w:rsid w:val="1B811F41"/>
    <w:rsid w:val="21134F91"/>
    <w:rsid w:val="21704AFB"/>
    <w:rsid w:val="27F143A5"/>
    <w:rsid w:val="28A375E7"/>
    <w:rsid w:val="29A923DC"/>
    <w:rsid w:val="2BA54178"/>
    <w:rsid w:val="2F5177B0"/>
    <w:rsid w:val="3917510F"/>
    <w:rsid w:val="3B4663E2"/>
    <w:rsid w:val="3CAA7DFD"/>
    <w:rsid w:val="40733193"/>
    <w:rsid w:val="46881177"/>
    <w:rsid w:val="48ED6EF4"/>
    <w:rsid w:val="4D79393B"/>
    <w:rsid w:val="4FAB4ED8"/>
    <w:rsid w:val="51A3166D"/>
    <w:rsid w:val="54FD381D"/>
    <w:rsid w:val="58E56000"/>
    <w:rsid w:val="594266CA"/>
    <w:rsid w:val="5A587B7C"/>
    <w:rsid w:val="5C303424"/>
    <w:rsid w:val="5CFC33D6"/>
    <w:rsid w:val="614C7F84"/>
    <w:rsid w:val="71C94B60"/>
    <w:rsid w:val="722D30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eastAsia="宋体" w:cs="Courier New"/>
      <w:szCs w:val="21"/>
    </w:rPr>
  </w:style>
  <w:style w:type="paragraph" w:styleId="3">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Hyperlink"/>
    <w:basedOn w:val="9"/>
    <w:unhideWhenUsed/>
    <w:qFormat/>
    <w:uiPriority w:val="99"/>
    <w:rPr>
      <w:color w:val="0000FF"/>
      <w:u w:val="single"/>
    </w:rPr>
  </w:style>
  <w:style w:type="character" w:customStyle="1" w:styleId="11">
    <w:name w:val="页眉 Char"/>
    <w:basedOn w:val="9"/>
    <w:link w:val="4"/>
    <w:qFormat/>
    <w:uiPriority w:val="0"/>
    <w:rPr>
      <w:rFonts w:ascii="Times New Roman" w:hAnsi="Times New Roman" w:eastAsia="宋体" w:cs="Times New Roman"/>
      <w:sz w:val="18"/>
      <w:szCs w:val="18"/>
    </w:rPr>
  </w:style>
  <w:style w:type="character" w:customStyle="1" w:styleId="12">
    <w:name w:val="页脚 Char"/>
    <w:basedOn w:val="9"/>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7</Pages>
  <Words>316</Words>
  <Characters>1804</Characters>
  <Lines>15</Lines>
  <Paragraphs>4</Paragraphs>
  <TotalTime>35</TotalTime>
  <ScaleCrop>false</ScaleCrop>
  <LinksUpToDate>false</LinksUpToDate>
  <CharactersWithSpaces>2116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鲁夫子</cp:lastModifiedBy>
  <dcterms:modified xsi:type="dcterms:W3CDTF">2019-02-15T04:35:48Z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